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97" w:rsidRPr="002D5BCD" w:rsidRDefault="006B06CC" w:rsidP="002D5BC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Horizontal analysis </w:t>
      </w:r>
    </w:p>
    <w:p w:rsidR="00D0408B" w:rsidRDefault="00727197" w:rsidP="00955E06">
      <w:r>
        <w:t>Horizontal:</w:t>
      </w:r>
      <w:r w:rsidR="00D0408B">
        <w:t xml:space="preserve">  Looks at percentage change in a line item from one year to the next</w:t>
      </w:r>
    </w:p>
    <w:p w:rsidR="00955E06" w:rsidRDefault="00955E06" w:rsidP="00955E06">
      <w:pPr>
        <w:pStyle w:val="ListParagraph"/>
        <w:numPr>
          <w:ilvl w:val="1"/>
          <w:numId w:val="1"/>
        </w:numPr>
      </w:pPr>
      <w:r>
        <w:t xml:space="preserve">Base year = year to compare against </w:t>
      </w:r>
    </w:p>
    <w:p w:rsidR="00955E06" w:rsidRDefault="00955E06" w:rsidP="00955E06">
      <w:pPr>
        <w:pStyle w:val="ListParagraph"/>
        <w:numPr>
          <w:ilvl w:val="1"/>
          <w:numId w:val="1"/>
        </w:numPr>
      </w:pPr>
      <w:r>
        <w:t xml:space="preserve">Subsequent = year you want the answer about </w:t>
      </w:r>
    </w:p>
    <w:p w:rsidR="00955E06" w:rsidRDefault="00955E06" w:rsidP="00955E06">
      <w:pPr>
        <w:pStyle w:val="ListParagraph"/>
        <w:ind w:left="1440"/>
      </w:pPr>
    </w:p>
    <w:p w:rsidR="00D0408B" w:rsidRPr="00955E06" w:rsidRDefault="00D0408B" w:rsidP="00D0408B">
      <w:pPr>
        <w:pStyle w:val="NoSpacing"/>
      </w:pPr>
      <w:r w:rsidRPr="00D0408B">
        <w:rPr>
          <w:u w:val="single"/>
        </w:rPr>
        <w:t>subsequent year – base year</w:t>
      </w:r>
      <w:r w:rsidR="00955E06" w:rsidRPr="00955E06">
        <w:tab/>
      </w:r>
      <w:proofErr w:type="gramStart"/>
      <w:r w:rsidR="00955E06" w:rsidRPr="00955E06">
        <w:t xml:space="preserve">x </w:t>
      </w:r>
      <w:r w:rsidR="00955E06">
        <w:t xml:space="preserve"> 100</w:t>
      </w:r>
      <w:proofErr w:type="gramEnd"/>
      <w:r w:rsidR="00955E06">
        <w:t xml:space="preserve"> = percentage change</w:t>
      </w:r>
    </w:p>
    <w:p w:rsidR="00D0408B" w:rsidRDefault="00D0408B" w:rsidP="00D0408B">
      <w:pPr>
        <w:pStyle w:val="NoSpacing"/>
        <w:ind w:firstLine="720"/>
      </w:pPr>
      <w:r>
        <w:t>Base year</w:t>
      </w:r>
      <w:r w:rsidR="00955E06">
        <w:t xml:space="preserve"> </w:t>
      </w:r>
    </w:p>
    <w:p w:rsidR="00955E06" w:rsidRDefault="00955E06" w:rsidP="00955E06">
      <w:pPr>
        <w:pStyle w:val="NoSpacing"/>
      </w:pPr>
    </w:p>
    <w:p w:rsidR="004C0405" w:rsidRDefault="004C0405" w:rsidP="00D0408B">
      <w:r>
        <w:t xml:space="preserve">Example:  </w:t>
      </w:r>
    </w:p>
    <w:p w:rsidR="004C0405" w:rsidRDefault="00E62973" w:rsidP="004C0405">
      <w:pPr>
        <w:pStyle w:val="ListParagraph"/>
        <w:numPr>
          <w:ilvl w:val="0"/>
          <w:numId w:val="1"/>
        </w:numPr>
      </w:pPr>
      <w:r>
        <w:t>You get</w:t>
      </w:r>
      <w:r w:rsidR="004C0405">
        <w:t xml:space="preserve"> statement in the mail from GA Power that tells you what you spent on power the previous year.  </w:t>
      </w:r>
      <w:r w:rsidR="006B06CC">
        <w:t xml:space="preserve">You are interested in determining how much more or less in power you spend in 2013 compared to 2012 </w:t>
      </w:r>
    </w:p>
    <w:p w:rsidR="004C0405" w:rsidRDefault="004C0405" w:rsidP="004C04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077"/>
        <w:gridCol w:w="3083"/>
      </w:tblGrid>
      <w:tr w:rsidR="004C0405" w:rsidTr="004C0405">
        <w:tc>
          <w:tcPr>
            <w:tcW w:w="3270" w:type="dxa"/>
          </w:tcPr>
          <w:p w:rsidR="004C0405" w:rsidRDefault="004C0405" w:rsidP="004C0405">
            <w:r>
              <w:t>2013</w:t>
            </w:r>
          </w:p>
        </w:tc>
        <w:tc>
          <w:tcPr>
            <w:tcW w:w="3153" w:type="dxa"/>
          </w:tcPr>
          <w:p w:rsidR="004C0405" w:rsidRDefault="004C0405" w:rsidP="004C0405">
            <w:r>
              <w:t>2012</w:t>
            </w:r>
          </w:p>
        </w:tc>
        <w:tc>
          <w:tcPr>
            <w:tcW w:w="3153" w:type="dxa"/>
          </w:tcPr>
          <w:p w:rsidR="004C0405" w:rsidRDefault="004C0405" w:rsidP="004C0405">
            <w:r>
              <w:t>% change</w:t>
            </w:r>
          </w:p>
        </w:tc>
      </w:tr>
      <w:tr w:rsidR="004C0405" w:rsidTr="004C0405">
        <w:tc>
          <w:tcPr>
            <w:tcW w:w="3270" w:type="dxa"/>
          </w:tcPr>
          <w:p w:rsidR="004C0405" w:rsidRDefault="004C0405" w:rsidP="004C0405">
            <w:r>
              <w:t>50</w:t>
            </w:r>
          </w:p>
        </w:tc>
        <w:tc>
          <w:tcPr>
            <w:tcW w:w="3153" w:type="dxa"/>
          </w:tcPr>
          <w:p w:rsidR="004C0405" w:rsidRDefault="004C0405" w:rsidP="004C0405">
            <w:r>
              <w:t>60</w:t>
            </w:r>
          </w:p>
        </w:tc>
        <w:tc>
          <w:tcPr>
            <w:tcW w:w="3153" w:type="dxa"/>
          </w:tcPr>
          <w:p w:rsidR="004C0405" w:rsidRDefault="004C0405" w:rsidP="004C0405"/>
        </w:tc>
      </w:tr>
    </w:tbl>
    <w:p w:rsidR="004C0405" w:rsidRDefault="004C0405" w:rsidP="004C0405"/>
    <w:p w:rsidR="004C0405" w:rsidRDefault="006B06CC" w:rsidP="004C0405">
      <w:r>
        <w:t xml:space="preserve">Interpretation and possible causation: </w:t>
      </w:r>
    </w:p>
    <w:p w:rsidR="006B06CC" w:rsidRDefault="006B06CC" w:rsidP="006B06C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6CC" w:rsidRDefault="006B06CC" w:rsidP="004C0405"/>
    <w:p w:rsidR="006B06CC" w:rsidRDefault="006B06CC" w:rsidP="004C0405"/>
    <w:p w:rsidR="006B06CC" w:rsidRDefault="006B06CC" w:rsidP="004C0405"/>
    <w:p w:rsidR="006B06CC" w:rsidRDefault="006B06CC" w:rsidP="004C0405"/>
    <w:p w:rsidR="006B06CC" w:rsidRDefault="006B06CC" w:rsidP="004C0405"/>
    <w:p w:rsidR="006B06CC" w:rsidRDefault="006B06CC" w:rsidP="004C0405"/>
    <w:p w:rsidR="006B06CC" w:rsidRDefault="006B06CC" w:rsidP="004C0405"/>
    <w:p w:rsidR="006B06CC" w:rsidRDefault="006B06CC" w:rsidP="004C0405"/>
    <w:p w:rsidR="006B06CC" w:rsidRDefault="006B06CC" w:rsidP="004C0405"/>
    <w:p w:rsidR="006B06CC" w:rsidRDefault="006B06CC" w:rsidP="004C0405">
      <w:r>
        <w:lastRenderedPageBreak/>
        <w:t xml:space="preserve">Using Tenet’s Annual statement, determine the following </w:t>
      </w:r>
    </w:p>
    <w:p w:rsidR="006B06CC" w:rsidRDefault="006B06CC" w:rsidP="006B06CC">
      <w:pPr>
        <w:pStyle w:val="ListParagraph"/>
        <w:numPr>
          <w:ilvl w:val="0"/>
          <w:numId w:val="10"/>
        </w:numPr>
      </w:pPr>
      <w:r>
        <w:t>How much more or less in salaries and benefits did Tenet spend in 2013 compared to 2014? _________________</w:t>
      </w:r>
    </w:p>
    <w:p w:rsidR="006B06CC" w:rsidRDefault="006B06CC" w:rsidP="006B06CC">
      <w:pPr>
        <w:pStyle w:val="ListParagraph"/>
        <w:numPr>
          <w:ilvl w:val="1"/>
          <w:numId w:val="10"/>
        </w:numPr>
        <w:spacing w:line="480" w:lineRule="auto"/>
      </w:pPr>
      <w:r>
        <w:t xml:space="preserve">Interpretation &amp; possible causation:  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B06CC" w:rsidRDefault="006B06CC" w:rsidP="006B06CC">
      <w:pPr>
        <w:pStyle w:val="ListParagraph"/>
        <w:ind w:left="1440"/>
      </w:pPr>
    </w:p>
    <w:p w:rsidR="006B06CC" w:rsidRDefault="006B06CC" w:rsidP="006B06CC">
      <w:pPr>
        <w:pStyle w:val="ListParagraph"/>
        <w:numPr>
          <w:ilvl w:val="0"/>
          <w:numId w:val="10"/>
        </w:numPr>
      </w:pPr>
      <w:r>
        <w:t>Determine how much more or less in total current assets did Tenet have in 2014 compared to 2013? ___________________________</w:t>
      </w:r>
    </w:p>
    <w:p w:rsidR="006B06CC" w:rsidRDefault="006B06CC" w:rsidP="006B06CC">
      <w:pPr>
        <w:pStyle w:val="ListParagraph"/>
        <w:numPr>
          <w:ilvl w:val="1"/>
          <w:numId w:val="10"/>
        </w:numPr>
        <w:spacing w:line="480" w:lineRule="auto"/>
      </w:pPr>
      <w:r>
        <w:t xml:space="preserve">Interpretation &amp; possible causation: 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B06CC" w:rsidRDefault="006B06CC" w:rsidP="006B06CC">
      <w:pPr>
        <w:pStyle w:val="ListParagraph"/>
        <w:numPr>
          <w:ilvl w:val="0"/>
          <w:numId w:val="10"/>
        </w:numPr>
        <w:spacing w:line="480" w:lineRule="auto"/>
      </w:pPr>
      <w:r>
        <w:t xml:space="preserve">Determine how much more or less in net cash provided by financing activities did Tenet use in 2014 compared to 2013?  </w:t>
      </w:r>
    </w:p>
    <w:p w:rsidR="006B06CC" w:rsidRDefault="006B06CC" w:rsidP="006B06CC">
      <w:pPr>
        <w:pStyle w:val="ListParagraph"/>
        <w:numPr>
          <w:ilvl w:val="1"/>
          <w:numId w:val="10"/>
        </w:numPr>
        <w:spacing w:line="480" w:lineRule="auto"/>
      </w:pPr>
      <w:r>
        <w:t xml:space="preserve">Interpretation &amp; possible causation: 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B06CC" w:rsidRDefault="006B06CC" w:rsidP="006B06CC">
      <w:pPr>
        <w:spacing w:line="480" w:lineRule="auto"/>
      </w:pPr>
    </w:p>
    <w:p w:rsidR="00727197" w:rsidRDefault="00727197" w:rsidP="004C0405"/>
    <w:p w:rsidR="006B06CC" w:rsidRDefault="006B06CC" w:rsidP="004C0405"/>
    <w:p w:rsidR="006B06CC" w:rsidRDefault="006B06CC" w:rsidP="004C0405"/>
    <w:p w:rsidR="00727197" w:rsidRDefault="00727197" w:rsidP="004C0405"/>
    <w:p w:rsidR="00D0408B" w:rsidRDefault="004C0405" w:rsidP="00D0408B">
      <w:r>
        <w:lastRenderedPageBreak/>
        <w:t xml:space="preserve">Vertical (Common-size) analysis:  Looks at what </w:t>
      </w:r>
      <w:r w:rsidR="00E62973">
        <w:t>relationship between items in the same financial statement expressed in percentages</w:t>
      </w:r>
    </w:p>
    <w:p w:rsidR="004C0405" w:rsidRDefault="004C0405" w:rsidP="00D0408B">
      <w:r>
        <w:t xml:space="preserve">Example:  </w:t>
      </w:r>
    </w:p>
    <w:p w:rsidR="004C0405" w:rsidRDefault="004C0405" w:rsidP="004C0405">
      <w:pPr>
        <w:pStyle w:val="ListParagraph"/>
        <w:numPr>
          <w:ilvl w:val="0"/>
          <w:numId w:val="1"/>
        </w:numPr>
      </w:pPr>
      <w:r>
        <w:t>You do a statement of your own bills for the month of May and get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8321B" w:rsidTr="00727197">
        <w:tc>
          <w:tcPr>
            <w:tcW w:w="3192" w:type="dxa"/>
          </w:tcPr>
          <w:p w:rsidR="0088321B" w:rsidRDefault="0088321B" w:rsidP="004C0405">
            <w:r>
              <w:t>Bills</w:t>
            </w:r>
          </w:p>
        </w:tc>
        <w:tc>
          <w:tcPr>
            <w:tcW w:w="3192" w:type="dxa"/>
          </w:tcPr>
          <w:p w:rsidR="0088321B" w:rsidRDefault="0088321B" w:rsidP="004C0405">
            <w:r>
              <w:t>Cost</w:t>
            </w:r>
          </w:p>
        </w:tc>
        <w:tc>
          <w:tcPr>
            <w:tcW w:w="3192" w:type="dxa"/>
          </w:tcPr>
          <w:p w:rsidR="0088321B" w:rsidRDefault="0088321B" w:rsidP="004C0405">
            <w:r>
              <w:t>Percentage of bills for May</w:t>
            </w:r>
          </w:p>
        </w:tc>
      </w:tr>
      <w:tr w:rsidR="0088321B" w:rsidTr="00727197">
        <w:tc>
          <w:tcPr>
            <w:tcW w:w="3192" w:type="dxa"/>
          </w:tcPr>
          <w:p w:rsidR="0088321B" w:rsidRDefault="0088321B" w:rsidP="004C0405">
            <w:r>
              <w:t>Rent</w:t>
            </w:r>
          </w:p>
        </w:tc>
        <w:tc>
          <w:tcPr>
            <w:tcW w:w="3192" w:type="dxa"/>
          </w:tcPr>
          <w:p w:rsidR="0088321B" w:rsidRDefault="0088321B" w:rsidP="004C0405">
            <w:r>
              <w:t>800</w:t>
            </w:r>
          </w:p>
        </w:tc>
        <w:tc>
          <w:tcPr>
            <w:tcW w:w="3192" w:type="dxa"/>
          </w:tcPr>
          <w:p w:rsidR="0088321B" w:rsidRDefault="0088321B" w:rsidP="004C0405"/>
        </w:tc>
      </w:tr>
      <w:tr w:rsidR="0088321B" w:rsidTr="00727197">
        <w:tc>
          <w:tcPr>
            <w:tcW w:w="3192" w:type="dxa"/>
          </w:tcPr>
          <w:p w:rsidR="0088321B" w:rsidRDefault="0088321B" w:rsidP="004C0405">
            <w:r>
              <w:t>Power</w:t>
            </w:r>
          </w:p>
        </w:tc>
        <w:tc>
          <w:tcPr>
            <w:tcW w:w="3192" w:type="dxa"/>
          </w:tcPr>
          <w:p w:rsidR="0088321B" w:rsidRDefault="0088321B" w:rsidP="004C0405">
            <w:r>
              <w:t>100</w:t>
            </w:r>
          </w:p>
        </w:tc>
        <w:tc>
          <w:tcPr>
            <w:tcW w:w="3192" w:type="dxa"/>
          </w:tcPr>
          <w:p w:rsidR="0088321B" w:rsidRDefault="0088321B" w:rsidP="004C0405"/>
        </w:tc>
      </w:tr>
      <w:tr w:rsidR="0088321B" w:rsidTr="00727197">
        <w:tc>
          <w:tcPr>
            <w:tcW w:w="3192" w:type="dxa"/>
          </w:tcPr>
          <w:p w:rsidR="0088321B" w:rsidRDefault="0088321B" w:rsidP="004C0405">
            <w:r>
              <w:t>Food</w:t>
            </w:r>
          </w:p>
        </w:tc>
        <w:tc>
          <w:tcPr>
            <w:tcW w:w="3192" w:type="dxa"/>
          </w:tcPr>
          <w:p w:rsidR="0088321B" w:rsidRDefault="0088321B" w:rsidP="004C0405">
            <w:r>
              <w:t>200</w:t>
            </w:r>
          </w:p>
        </w:tc>
        <w:tc>
          <w:tcPr>
            <w:tcW w:w="3192" w:type="dxa"/>
          </w:tcPr>
          <w:p w:rsidR="0088321B" w:rsidRDefault="0088321B" w:rsidP="004C0405"/>
        </w:tc>
      </w:tr>
      <w:tr w:rsidR="0088321B" w:rsidTr="00727197">
        <w:tc>
          <w:tcPr>
            <w:tcW w:w="3192" w:type="dxa"/>
          </w:tcPr>
          <w:p w:rsidR="0088321B" w:rsidRDefault="0088321B" w:rsidP="004C0405">
            <w:r>
              <w:t>Gas</w:t>
            </w:r>
          </w:p>
        </w:tc>
        <w:tc>
          <w:tcPr>
            <w:tcW w:w="3192" w:type="dxa"/>
          </w:tcPr>
          <w:p w:rsidR="0088321B" w:rsidRDefault="0088321B" w:rsidP="004C0405">
            <w:r>
              <w:t>80</w:t>
            </w:r>
          </w:p>
        </w:tc>
        <w:tc>
          <w:tcPr>
            <w:tcW w:w="3192" w:type="dxa"/>
          </w:tcPr>
          <w:p w:rsidR="0088321B" w:rsidRDefault="0088321B" w:rsidP="004C0405"/>
        </w:tc>
      </w:tr>
      <w:tr w:rsidR="0088321B" w:rsidTr="00727197">
        <w:tc>
          <w:tcPr>
            <w:tcW w:w="3192" w:type="dxa"/>
          </w:tcPr>
          <w:p w:rsidR="0088321B" w:rsidRDefault="0088321B" w:rsidP="004C0405">
            <w:r>
              <w:t>Entertainment</w:t>
            </w:r>
          </w:p>
        </w:tc>
        <w:tc>
          <w:tcPr>
            <w:tcW w:w="3192" w:type="dxa"/>
          </w:tcPr>
          <w:p w:rsidR="0088321B" w:rsidRDefault="0088321B" w:rsidP="004C0405">
            <w:r>
              <w:t>400</w:t>
            </w:r>
          </w:p>
        </w:tc>
        <w:tc>
          <w:tcPr>
            <w:tcW w:w="3192" w:type="dxa"/>
          </w:tcPr>
          <w:p w:rsidR="0088321B" w:rsidRDefault="0088321B" w:rsidP="004C0405"/>
        </w:tc>
      </w:tr>
      <w:tr w:rsidR="0088321B" w:rsidTr="00727197">
        <w:tc>
          <w:tcPr>
            <w:tcW w:w="3192" w:type="dxa"/>
          </w:tcPr>
          <w:p w:rsidR="0088321B" w:rsidRDefault="0088321B" w:rsidP="004C0405">
            <w:r>
              <w:t>TOTAL</w:t>
            </w:r>
          </w:p>
        </w:tc>
        <w:tc>
          <w:tcPr>
            <w:tcW w:w="3192" w:type="dxa"/>
          </w:tcPr>
          <w:p w:rsidR="0088321B" w:rsidRDefault="0088321B" w:rsidP="004C0405">
            <w:r>
              <w:t>1580</w:t>
            </w:r>
          </w:p>
        </w:tc>
        <w:tc>
          <w:tcPr>
            <w:tcW w:w="3192" w:type="dxa"/>
          </w:tcPr>
          <w:p w:rsidR="0088321B" w:rsidRDefault="0088321B" w:rsidP="004C0405"/>
        </w:tc>
      </w:tr>
    </w:tbl>
    <w:p w:rsidR="004C0405" w:rsidRDefault="004C0405" w:rsidP="004C0405">
      <w:r>
        <w:t xml:space="preserve"> </w:t>
      </w:r>
    </w:p>
    <w:p w:rsidR="0088321B" w:rsidRDefault="006B06CC" w:rsidP="006B06CC">
      <w:pPr>
        <w:spacing w:line="480" w:lineRule="auto"/>
      </w:pPr>
      <w:r>
        <w:t xml:space="preserve">Interpretation &amp; suggestions: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  <w:r>
        <w:lastRenderedPageBreak/>
        <w:t>Using Tenet’s annual statement, do a vertical analysis for 2014 for the following and include an interpretation and suggestions</w:t>
      </w:r>
    </w:p>
    <w:p w:rsidR="006B06CC" w:rsidRDefault="006B06CC" w:rsidP="006B06CC">
      <w:pPr>
        <w:spacing w:line="480" w:lineRule="auto"/>
      </w:pPr>
      <w:r>
        <w:t>Changes in cash from operating assets and liabilities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B06CC" w:rsidTr="006B06CC">
        <w:tc>
          <w:tcPr>
            <w:tcW w:w="3192" w:type="dxa"/>
          </w:tcPr>
          <w:p w:rsidR="006B06CC" w:rsidRDefault="006B06CC" w:rsidP="006B06CC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B06CC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B06CC">
            <w:pPr>
              <w:spacing w:line="480" w:lineRule="auto"/>
            </w:pPr>
          </w:p>
        </w:tc>
      </w:tr>
      <w:tr w:rsidR="006B06CC" w:rsidTr="006B06CC">
        <w:tc>
          <w:tcPr>
            <w:tcW w:w="3192" w:type="dxa"/>
          </w:tcPr>
          <w:p w:rsidR="006B06CC" w:rsidRDefault="006B06CC" w:rsidP="006B06CC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B06CC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B06CC">
            <w:pPr>
              <w:spacing w:line="480" w:lineRule="auto"/>
            </w:pPr>
          </w:p>
        </w:tc>
      </w:tr>
      <w:tr w:rsidR="006B06CC" w:rsidTr="006B06CC">
        <w:tc>
          <w:tcPr>
            <w:tcW w:w="3192" w:type="dxa"/>
          </w:tcPr>
          <w:p w:rsidR="006B06CC" w:rsidRDefault="006B06CC" w:rsidP="006B06CC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B06CC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B06CC">
            <w:pPr>
              <w:spacing w:line="480" w:lineRule="auto"/>
            </w:pPr>
          </w:p>
        </w:tc>
      </w:tr>
      <w:tr w:rsidR="006B06CC" w:rsidTr="006B06CC">
        <w:tc>
          <w:tcPr>
            <w:tcW w:w="3192" w:type="dxa"/>
          </w:tcPr>
          <w:p w:rsidR="006B06CC" w:rsidRDefault="006B06CC" w:rsidP="006B06CC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B06CC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B06CC">
            <w:pPr>
              <w:spacing w:line="480" w:lineRule="auto"/>
            </w:pPr>
          </w:p>
        </w:tc>
      </w:tr>
    </w:tbl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  <w:r>
        <w:t>Interpretation &amp; suggestions: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  <w:r>
        <w:lastRenderedPageBreak/>
        <w:t>Current liabilities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B06CC" w:rsidTr="006D73F5"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</w:tr>
      <w:tr w:rsidR="006B06CC" w:rsidTr="006D73F5"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</w:tr>
      <w:tr w:rsidR="006B06CC" w:rsidTr="006D73F5"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</w:tr>
      <w:tr w:rsidR="006B06CC" w:rsidTr="006D73F5"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</w:tr>
    </w:tbl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  <w:r>
        <w:t>Interpretation &amp; suggestions: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  <w:r>
        <w:lastRenderedPageBreak/>
        <w:t xml:space="preserve">Operating expenses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B06CC" w:rsidTr="006D73F5"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</w:tr>
      <w:tr w:rsidR="006B06CC" w:rsidTr="006D73F5"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</w:tr>
      <w:tr w:rsidR="006B06CC" w:rsidTr="006D73F5"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</w:tr>
      <w:tr w:rsidR="006B06CC" w:rsidTr="006D73F5"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  <w:tc>
          <w:tcPr>
            <w:tcW w:w="3192" w:type="dxa"/>
          </w:tcPr>
          <w:p w:rsidR="006B06CC" w:rsidRDefault="006B06CC" w:rsidP="006D73F5">
            <w:pPr>
              <w:spacing w:line="480" w:lineRule="auto"/>
            </w:pPr>
          </w:p>
        </w:tc>
      </w:tr>
    </w:tbl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  <w:r>
        <w:t>Interpretation &amp; suggestions: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6B06CC">
      <w:pPr>
        <w:spacing w:line="480" w:lineRule="auto"/>
      </w:pPr>
    </w:p>
    <w:p w:rsidR="006B06CC" w:rsidRDefault="006B06CC" w:rsidP="004C0405"/>
    <w:p w:rsidR="006B06CC" w:rsidRDefault="006B06CC" w:rsidP="004C0405"/>
    <w:p w:rsidR="006B06CC" w:rsidRDefault="006B06CC" w:rsidP="004C0405"/>
    <w:p w:rsidR="006B06CC" w:rsidRDefault="006B06CC" w:rsidP="004C0405"/>
    <w:p w:rsidR="00A65557" w:rsidRPr="006B06CC" w:rsidRDefault="006B06CC" w:rsidP="006B06CC">
      <w:pPr>
        <w:jc w:val="center"/>
        <w:rPr>
          <w:b/>
        </w:rPr>
      </w:pPr>
      <w:r w:rsidRPr="006B06CC">
        <w:rPr>
          <w:b/>
        </w:rPr>
        <w:lastRenderedPageBreak/>
        <w:t xml:space="preserve">RATIO ANALYSIS </w:t>
      </w:r>
    </w:p>
    <w:p w:rsidR="006B06CC" w:rsidRDefault="006B06CC" w:rsidP="006B06CC">
      <w:r>
        <w:t>Use Tenet’s 2015 financial and operating statements to determine</w:t>
      </w:r>
    </w:p>
    <w:p w:rsidR="006B06CC" w:rsidRDefault="006B06CC" w:rsidP="006B06CC">
      <w:pPr>
        <w:pStyle w:val="ListParagraph"/>
        <w:numPr>
          <w:ilvl w:val="0"/>
          <w:numId w:val="11"/>
        </w:numPr>
      </w:pPr>
      <w:r>
        <w:t>Ratios for each category</w:t>
      </w:r>
    </w:p>
    <w:p w:rsidR="006B06CC" w:rsidRDefault="006B06CC" w:rsidP="006B06CC">
      <w:pPr>
        <w:pStyle w:val="ListParagraph"/>
        <w:numPr>
          <w:ilvl w:val="1"/>
          <w:numId w:val="11"/>
        </w:numPr>
      </w:pPr>
      <w:r>
        <w:t xml:space="preserve">Interpretation for each item within a category </w:t>
      </w:r>
    </w:p>
    <w:p w:rsidR="006B06CC" w:rsidRDefault="006B06CC" w:rsidP="006B06CC">
      <w:pPr>
        <w:pStyle w:val="ListParagraph"/>
        <w:numPr>
          <w:ilvl w:val="1"/>
          <w:numId w:val="11"/>
        </w:numPr>
      </w:pPr>
      <w:r>
        <w:t>Interpretation for the entire category</w:t>
      </w:r>
    </w:p>
    <w:p w:rsidR="006B06CC" w:rsidRDefault="006B06CC" w:rsidP="006B06CC"/>
    <w:p w:rsidR="00727197" w:rsidRDefault="00727197" w:rsidP="00A65557"/>
    <w:p w:rsidR="00727197" w:rsidRDefault="00727197" w:rsidP="00A65557"/>
    <w:sectPr w:rsidR="00727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1FB7"/>
    <w:multiLevelType w:val="hybridMultilevel"/>
    <w:tmpl w:val="A498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2434"/>
    <w:multiLevelType w:val="hybridMultilevel"/>
    <w:tmpl w:val="CE20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C364F"/>
    <w:multiLevelType w:val="hybridMultilevel"/>
    <w:tmpl w:val="DF9CE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02BA3"/>
    <w:multiLevelType w:val="hybridMultilevel"/>
    <w:tmpl w:val="4112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B212E"/>
    <w:multiLevelType w:val="hybridMultilevel"/>
    <w:tmpl w:val="0C102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2384F"/>
    <w:multiLevelType w:val="hybridMultilevel"/>
    <w:tmpl w:val="21EE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0443"/>
    <w:multiLevelType w:val="hybridMultilevel"/>
    <w:tmpl w:val="BB320B5A"/>
    <w:lvl w:ilvl="0" w:tplc="0DA26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C81D3F"/>
    <w:multiLevelType w:val="hybridMultilevel"/>
    <w:tmpl w:val="3712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B0091"/>
    <w:multiLevelType w:val="hybridMultilevel"/>
    <w:tmpl w:val="5BC8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742FF"/>
    <w:multiLevelType w:val="hybridMultilevel"/>
    <w:tmpl w:val="A9F478E0"/>
    <w:lvl w:ilvl="0" w:tplc="07F81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30E0B"/>
    <w:multiLevelType w:val="hybridMultilevel"/>
    <w:tmpl w:val="8F704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8B"/>
    <w:rsid w:val="000001FD"/>
    <w:rsid w:val="00061D59"/>
    <w:rsid w:val="00114997"/>
    <w:rsid w:val="00183868"/>
    <w:rsid w:val="001C2B25"/>
    <w:rsid w:val="001C616E"/>
    <w:rsid w:val="002D5BCD"/>
    <w:rsid w:val="00310EF3"/>
    <w:rsid w:val="003830FA"/>
    <w:rsid w:val="003B0593"/>
    <w:rsid w:val="00495EEA"/>
    <w:rsid w:val="004C0405"/>
    <w:rsid w:val="0054245C"/>
    <w:rsid w:val="00564844"/>
    <w:rsid w:val="006B06CC"/>
    <w:rsid w:val="006D7FD0"/>
    <w:rsid w:val="00705EC1"/>
    <w:rsid w:val="00727197"/>
    <w:rsid w:val="00782B60"/>
    <w:rsid w:val="007C7329"/>
    <w:rsid w:val="007F7D21"/>
    <w:rsid w:val="0080593F"/>
    <w:rsid w:val="0088321B"/>
    <w:rsid w:val="00892577"/>
    <w:rsid w:val="00935C22"/>
    <w:rsid w:val="00955E06"/>
    <w:rsid w:val="009B5DE0"/>
    <w:rsid w:val="009E0667"/>
    <w:rsid w:val="00A1467B"/>
    <w:rsid w:val="00A44F88"/>
    <w:rsid w:val="00A65557"/>
    <w:rsid w:val="00B44115"/>
    <w:rsid w:val="00BB32A9"/>
    <w:rsid w:val="00BD43BC"/>
    <w:rsid w:val="00BE45DE"/>
    <w:rsid w:val="00BF7217"/>
    <w:rsid w:val="00C007D3"/>
    <w:rsid w:val="00CD702F"/>
    <w:rsid w:val="00D0408B"/>
    <w:rsid w:val="00D14DC1"/>
    <w:rsid w:val="00D74119"/>
    <w:rsid w:val="00E107D4"/>
    <w:rsid w:val="00E46AF4"/>
    <w:rsid w:val="00E62973"/>
    <w:rsid w:val="00E83067"/>
    <w:rsid w:val="00FA1AA3"/>
    <w:rsid w:val="00FC203A"/>
    <w:rsid w:val="00FE41C7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4764"/>
  <w15:docId w15:val="{B619100B-84B9-4546-8746-AC86C345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8B"/>
    <w:pPr>
      <w:ind w:left="720"/>
      <w:contextualSpacing/>
    </w:pPr>
  </w:style>
  <w:style w:type="paragraph" w:styleId="NoSpacing">
    <w:name w:val="No Spacing"/>
    <w:uiPriority w:val="1"/>
    <w:qFormat/>
    <w:rsid w:val="00D0408B"/>
    <w:pPr>
      <w:spacing w:after="0" w:line="240" w:lineRule="auto"/>
    </w:pPr>
  </w:style>
  <w:style w:type="table" w:styleId="TableGrid">
    <w:name w:val="Table Grid"/>
    <w:basedOn w:val="TableNormal"/>
    <w:uiPriority w:val="59"/>
    <w:rsid w:val="004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107D4"/>
  </w:style>
  <w:style w:type="paragraph" w:styleId="NormalWeb">
    <w:name w:val="Normal (Web)"/>
    <w:basedOn w:val="Normal"/>
    <w:uiPriority w:val="99"/>
    <w:semiHidden/>
    <w:unhideWhenUsed/>
    <w:rsid w:val="00B4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4F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2577"/>
    <w:rPr>
      <w:b/>
      <w:bCs/>
    </w:rPr>
  </w:style>
  <w:style w:type="character" w:styleId="Emphasis">
    <w:name w:val="Emphasis"/>
    <w:basedOn w:val="DefaultParagraphFont"/>
    <w:uiPriority w:val="20"/>
    <w:qFormat/>
    <w:rsid w:val="008925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Steward</dc:creator>
  <cp:lastModifiedBy>Jocelyn L Steward</cp:lastModifiedBy>
  <cp:revision>2</cp:revision>
  <cp:lastPrinted>2014-04-07T17:46:00Z</cp:lastPrinted>
  <dcterms:created xsi:type="dcterms:W3CDTF">2016-06-15T13:35:00Z</dcterms:created>
  <dcterms:modified xsi:type="dcterms:W3CDTF">2016-06-15T13:35:00Z</dcterms:modified>
</cp:coreProperties>
</file>